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812DC">
      <w:pPr>
        <w:widowControl/>
        <w:overflowPunct/>
        <w:topLinePunct w:val="0"/>
        <w:adjustRightInd/>
        <w:spacing w:before="0" w:after="0" w:line="560" w:lineRule="exact"/>
        <w:ind w:firstLine="0"/>
        <w:jc w:val="left"/>
        <w:rPr>
          <w:rFonts w:hint="eastAsia" w:ascii="Times New Roman" w:hAnsi="Times New Roman" w:eastAsia="黑体" w:cs="黑体"/>
          <w:color w:val="000000"/>
          <w:spacing w:val="0"/>
          <w:kern w:val="0"/>
          <w:sz w:val="32"/>
          <w:szCs w:val="22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pacing w:val="0"/>
          <w:kern w:val="0"/>
          <w:sz w:val="32"/>
          <w:szCs w:val="22"/>
        </w:rPr>
        <w:t>附件</w:t>
      </w:r>
      <w:r>
        <w:rPr>
          <w:rFonts w:hint="eastAsia" w:ascii="Times New Roman" w:hAnsi="Times New Roman" w:eastAsia="黑体" w:cs="黑体"/>
          <w:color w:val="000000"/>
          <w:spacing w:val="0"/>
          <w:kern w:val="0"/>
          <w:sz w:val="32"/>
          <w:szCs w:val="22"/>
          <w:lang w:val="en-US" w:eastAsia="zh-CN"/>
        </w:rPr>
        <w:t>3</w:t>
      </w:r>
    </w:p>
    <w:p w14:paraId="66CED8C9">
      <w:pPr>
        <w:widowControl/>
        <w:overflowPunct/>
        <w:topLinePunct w:val="0"/>
        <w:adjustRightInd/>
        <w:spacing w:before="0" w:after="240" w:line="640" w:lineRule="exact"/>
        <w:ind w:firstLine="0"/>
        <w:jc w:val="center"/>
        <w:rPr>
          <w:rFonts w:hint="eastAsia" w:ascii="Times New Roman" w:hAnsi="Times New Roman" w:eastAsia="方正小标宋简体" w:cs="方正小标宋简体"/>
          <w:b w:val="0"/>
          <w:bCs/>
          <w:color w:val="000000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b w:val="0"/>
          <w:bCs/>
          <w:color w:val="000000"/>
          <w:spacing w:val="0"/>
          <w:kern w:val="0"/>
          <w:sz w:val="32"/>
          <w:szCs w:val="32"/>
        </w:rPr>
        <w:t>物业小区电动自行车充电设施隐患自查排查情况汇总表</w:t>
      </w:r>
    </w:p>
    <w:p w14:paraId="7ED2B66C">
      <w:pPr>
        <w:widowControl/>
        <w:overflowPunct/>
        <w:topLinePunct w:val="0"/>
        <w:adjustRightInd/>
        <w:spacing w:before="0" w:after="120" w:line="400" w:lineRule="exact"/>
        <w:ind w:firstLine="0"/>
        <w:jc w:val="left"/>
        <w:rPr>
          <w:rFonts w:ascii="Times New Roman" w:hAnsi="Times New Roman" w:eastAsia="仿宋"/>
          <w:color w:val="000000"/>
          <w:spacing w:val="0"/>
          <w:kern w:val="0"/>
          <w:szCs w:val="22"/>
        </w:rPr>
      </w:pPr>
      <w:r>
        <w:rPr>
          <w:rFonts w:ascii="Times New Roman" w:hAnsi="Times New Roman" w:eastAsia="仿宋"/>
          <w:color w:val="000000"/>
          <w:spacing w:val="0"/>
          <w:kern w:val="0"/>
          <w:sz w:val="24"/>
          <w:szCs w:val="22"/>
        </w:rPr>
        <w:t>填报单位（盖章）：　　　　　　　　　　填报人：　　　　　　联系电话：　　　　　　　　填报日期：　　　年　　月　　日</w:t>
      </w:r>
    </w:p>
    <w:tbl>
      <w:tblPr>
        <w:tblStyle w:val="2"/>
        <w:tblW w:w="1434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0"/>
        <w:gridCol w:w="1800"/>
        <w:gridCol w:w="2200"/>
        <w:gridCol w:w="1300"/>
        <w:gridCol w:w="2884"/>
        <w:gridCol w:w="2265"/>
        <w:gridCol w:w="1451"/>
        <w:gridCol w:w="1744"/>
      </w:tblGrid>
      <w:tr w14:paraId="30912A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700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ED5582">
            <w:pPr>
              <w:widowControl/>
              <w:overflowPunct/>
              <w:topLinePunct w:val="0"/>
              <w:adjustRightInd/>
              <w:spacing w:line="360" w:lineRule="auto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b/>
                <w:color w:val="000000"/>
                <w:spacing w:val="0"/>
                <w:kern w:val="0"/>
                <w:sz w:val="24"/>
                <w:szCs w:val="22"/>
              </w:rPr>
              <w:t>序号</w:t>
            </w:r>
          </w:p>
        </w:tc>
        <w:tc>
          <w:tcPr>
            <w:tcW w:w="1800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05F04C">
            <w:pPr>
              <w:widowControl/>
              <w:overflowPunct/>
              <w:topLinePunct w:val="0"/>
              <w:adjustRightInd/>
              <w:spacing w:line="360" w:lineRule="auto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b/>
                <w:color w:val="000000"/>
                <w:spacing w:val="0"/>
                <w:kern w:val="0"/>
                <w:sz w:val="24"/>
                <w:szCs w:val="22"/>
              </w:rPr>
              <w:t>小区名称</w:t>
            </w:r>
          </w:p>
        </w:tc>
        <w:tc>
          <w:tcPr>
            <w:tcW w:w="2200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8DADB1">
            <w:pPr>
              <w:widowControl/>
              <w:overflowPunct/>
              <w:topLinePunct w:val="0"/>
              <w:adjustRightInd/>
              <w:spacing w:line="360" w:lineRule="auto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b/>
                <w:color w:val="000000"/>
                <w:spacing w:val="0"/>
                <w:kern w:val="0"/>
                <w:sz w:val="24"/>
                <w:szCs w:val="22"/>
              </w:rPr>
              <w:t>物业服务企业</w:t>
            </w:r>
          </w:p>
        </w:tc>
        <w:tc>
          <w:tcPr>
            <w:tcW w:w="1300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009AF3">
            <w:pPr>
              <w:widowControl/>
              <w:overflowPunct/>
              <w:topLinePunct w:val="0"/>
              <w:adjustRightInd/>
              <w:spacing w:line="360" w:lineRule="auto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b/>
                <w:color w:val="000000"/>
                <w:spacing w:val="0"/>
                <w:kern w:val="0"/>
                <w:sz w:val="24"/>
                <w:szCs w:val="22"/>
              </w:rPr>
              <w:t>排查时间</w:t>
            </w:r>
          </w:p>
        </w:tc>
        <w:tc>
          <w:tcPr>
            <w:tcW w:w="288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A944EE">
            <w:pPr>
              <w:widowControl/>
              <w:overflowPunct/>
              <w:topLinePunct w:val="0"/>
              <w:adjustRightInd/>
              <w:spacing w:line="360" w:lineRule="auto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b/>
                <w:color w:val="000000"/>
                <w:spacing w:val="0"/>
                <w:kern w:val="0"/>
                <w:sz w:val="24"/>
                <w:szCs w:val="22"/>
              </w:rPr>
              <w:t>排查发现主要隐患问题</w:t>
            </w:r>
          </w:p>
        </w:tc>
        <w:tc>
          <w:tcPr>
            <w:tcW w:w="2265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82BE8F">
            <w:pPr>
              <w:widowControl/>
              <w:overflowPunct/>
              <w:topLinePunct w:val="0"/>
              <w:adjustRightInd/>
              <w:spacing w:line="360" w:lineRule="auto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b/>
                <w:color w:val="000000"/>
                <w:spacing w:val="0"/>
                <w:kern w:val="0"/>
                <w:sz w:val="24"/>
                <w:szCs w:val="22"/>
              </w:rPr>
              <w:t>整改措施</w:t>
            </w:r>
          </w:p>
        </w:tc>
        <w:tc>
          <w:tcPr>
            <w:tcW w:w="1451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1109D7">
            <w:pPr>
              <w:widowControl/>
              <w:overflowPunct/>
              <w:topLinePunct w:val="0"/>
              <w:adjustRightInd/>
              <w:spacing w:line="360" w:lineRule="auto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b/>
                <w:color w:val="000000"/>
                <w:spacing w:val="0"/>
                <w:kern w:val="0"/>
                <w:sz w:val="24"/>
                <w:szCs w:val="22"/>
              </w:rPr>
              <w:t>整改时限</w:t>
            </w:r>
          </w:p>
        </w:tc>
        <w:tc>
          <w:tcPr>
            <w:tcW w:w="174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2CE2FC">
            <w:pPr>
              <w:widowControl/>
              <w:overflowPunct/>
              <w:topLinePunct w:val="0"/>
              <w:adjustRightInd/>
              <w:spacing w:line="360" w:lineRule="auto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b/>
                <w:color w:val="000000"/>
                <w:spacing w:val="0"/>
                <w:kern w:val="0"/>
                <w:sz w:val="24"/>
                <w:szCs w:val="22"/>
              </w:rPr>
              <w:t>是否整改到位</w:t>
            </w:r>
          </w:p>
        </w:tc>
      </w:tr>
      <w:tr w14:paraId="0A729D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700" w:type="dxa"/>
            <w:vAlign w:val="center"/>
          </w:tcPr>
          <w:p w14:paraId="5C3B0A20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spacing w:val="0"/>
                <w:kern w:val="0"/>
                <w:sz w:val="24"/>
                <w:szCs w:val="22"/>
              </w:rPr>
              <w:t>1</w:t>
            </w:r>
          </w:p>
        </w:tc>
        <w:tc>
          <w:tcPr>
            <w:tcW w:w="1800" w:type="dxa"/>
            <w:vAlign w:val="center"/>
          </w:tcPr>
          <w:p w14:paraId="72EF679F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00" w:type="dxa"/>
            <w:vAlign w:val="center"/>
          </w:tcPr>
          <w:p w14:paraId="0A54B9AF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300" w:type="dxa"/>
            <w:vAlign w:val="center"/>
          </w:tcPr>
          <w:p w14:paraId="1AC93E31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884" w:type="dxa"/>
            <w:vAlign w:val="center"/>
          </w:tcPr>
          <w:p w14:paraId="13664EB7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65" w:type="dxa"/>
            <w:vAlign w:val="center"/>
          </w:tcPr>
          <w:p w14:paraId="484A39A7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7E805953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76352736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</w:tr>
      <w:tr w14:paraId="314125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700" w:type="dxa"/>
            <w:vAlign w:val="center"/>
          </w:tcPr>
          <w:p w14:paraId="5061846E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spacing w:val="0"/>
                <w:kern w:val="0"/>
                <w:sz w:val="24"/>
                <w:szCs w:val="22"/>
              </w:rPr>
              <w:t>2</w:t>
            </w:r>
          </w:p>
        </w:tc>
        <w:tc>
          <w:tcPr>
            <w:tcW w:w="1800" w:type="dxa"/>
            <w:vAlign w:val="center"/>
          </w:tcPr>
          <w:p w14:paraId="3EB2C2BF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00" w:type="dxa"/>
            <w:vAlign w:val="center"/>
          </w:tcPr>
          <w:p w14:paraId="39FD478B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300" w:type="dxa"/>
            <w:vAlign w:val="center"/>
          </w:tcPr>
          <w:p w14:paraId="001DCAB0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884" w:type="dxa"/>
            <w:vAlign w:val="center"/>
          </w:tcPr>
          <w:p w14:paraId="70B70CC4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65" w:type="dxa"/>
            <w:vAlign w:val="center"/>
          </w:tcPr>
          <w:p w14:paraId="5D40243B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09A3BEA9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4175E711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</w:tr>
      <w:tr w14:paraId="7666E6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700" w:type="dxa"/>
            <w:vAlign w:val="center"/>
          </w:tcPr>
          <w:p w14:paraId="2A31C9D5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spacing w:val="0"/>
                <w:kern w:val="0"/>
                <w:sz w:val="24"/>
                <w:szCs w:val="22"/>
              </w:rPr>
              <w:t>3</w:t>
            </w:r>
          </w:p>
        </w:tc>
        <w:tc>
          <w:tcPr>
            <w:tcW w:w="1800" w:type="dxa"/>
            <w:vAlign w:val="center"/>
          </w:tcPr>
          <w:p w14:paraId="556AF112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00" w:type="dxa"/>
            <w:vAlign w:val="center"/>
          </w:tcPr>
          <w:p w14:paraId="5D6B964D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300" w:type="dxa"/>
            <w:vAlign w:val="center"/>
          </w:tcPr>
          <w:p w14:paraId="722C75AB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884" w:type="dxa"/>
            <w:vAlign w:val="center"/>
          </w:tcPr>
          <w:p w14:paraId="6CC67BFD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65" w:type="dxa"/>
            <w:vAlign w:val="center"/>
          </w:tcPr>
          <w:p w14:paraId="3D0C1A5D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0AC2DC11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37B5F0B5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</w:tr>
      <w:tr w14:paraId="3A781C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700" w:type="dxa"/>
            <w:vAlign w:val="center"/>
          </w:tcPr>
          <w:p w14:paraId="7ACD9974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spacing w:val="0"/>
                <w:kern w:val="0"/>
                <w:sz w:val="24"/>
                <w:szCs w:val="22"/>
              </w:rPr>
              <w:t>4</w:t>
            </w:r>
          </w:p>
        </w:tc>
        <w:tc>
          <w:tcPr>
            <w:tcW w:w="1800" w:type="dxa"/>
            <w:vAlign w:val="center"/>
          </w:tcPr>
          <w:p w14:paraId="00B3C9BA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00" w:type="dxa"/>
            <w:vAlign w:val="center"/>
          </w:tcPr>
          <w:p w14:paraId="4801104A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300" w:type="dxa"/>
            <w:vAlign w:val="center"/>
          </w:tcPr>
          <w:p w14:paraId="147D951F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884" w:type="dxa"/>
            <w:vAlign w:val="center"/>
          </w:tcPr>
          <w:p w14:paraId="6149C72F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65" w:type="dxa"/>
            <w:vAlign w:val="center"/>
          </w:tcPr>
          <w:p w14:paraId="742AAE59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15652AA9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1A8D8FC1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</w:tr>
      <w:tr w14:paraId="776D70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700" w:type="dxa"/>
            <w:vAlign w:val="center"/>
          </w:tcPr>
          <w:p w14:paraId="263B1941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spacing w:val="0"/>
                <w:kern w:val="0"/>
                <w:sz w:val="24"/>
                <w:szCs w:val="22"/>
              </w:rPr>
              <w:t>5</w:t>
            </w:r>
          </w:p>
        </w:tc>
        <w:tc>
          <w:tcPr>
            <w:tcW w:w="1800" w:type="dxa"/>
            <w:vAlign w:val="center"/>
          </w:tcPr>
          <w:p w14:paraId="06AF202C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00" w:type="dxa"/>
            <w:vAlign w:val="center"/>
          </w:tcPr>
          <w:p w14:paraId="22B09E6E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300" w:type="dxa"/>
            <w:vAlign w:val="center"/>
          </w:tcPr>
          <w:p w14:paraId="005193DA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884" w:type="dxa"/>
            <w:vAlign w:val="center"/>
          </w:tcPr>
          <w:p w14:paraId="2592A18C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65" w:type="dxa"/>
            <w:vAlign w:val="center"/>
          </w:tcPr>
          <w:p w14:paraId="36163215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038CFECD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22599E97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</w:tr>
      <w:tr w14:paraId="59A7CC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700" w:type="dxa"/>
            <w:vAlign w:val="center"/>
          </w:tcPr>
          <w:p w14:paraId="0CDBF2CD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spacing w:val="0"/>
                <w:kern w:val="0"/>
                <w:sz w:val="24"/>
                <w:szCs w:val="22"/>
              </w:rPr>
              <w:t>6</w:t>
            </w:r>
          </w:p>
        </w:tc>
        <w:tc>
          <w:tcPr>
            <w:tcW w:w="1800" w:type="dxa"/>
            <w:vAlign w:val="center"/>
          </w:tcPr>
          <w:p w14:paraId="656A31F6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00" w:type="dxa"/>
            <w:vAlign w:val="center"/>
          </w:tcPr>
          <w:p w14:paraId="014A41E4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300" w:type="dxa"/>
            <w:vAlign w:val="center"/>
          </w:tcPr>
          <w:p w14:paraId="1160A508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884" w:type="dxa"/>
            <w:vAlign w:val="center"/>
          </w:tcPr>
          <w:p w14:paraId="21BEF94F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65" w:type="dxa"/>
            <w:vAlign w:val="center"/>
          </w:tcPr>
          <w:p w14:paraId="5B549376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40AAA5D7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5E6FD5DC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</w:tr>
      <w:tr w14:paraId="6477C3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700" w:type="dxa"/>
            <w:vAlign w:val="center"/>
          </w:tcPr>
          <w:p w14:paraId="2727CC26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spacing w:val="0"/>
                <w:kern w:val="0"/>
                <w:sz w:val="24"/>
                <w:szCs w:val="22"/>
              </w:rPr>
              <w:t>7</w:t>
            </w:r>
          </w:p>
        </w:tc>
        <w:tc>
          <w:tcPr>
            <w:tcW w:w="1800" w:type="dxa"/>
            <w:vAlign w:val="center"/>
          </w:tcPr>
          <w:p w14:paraId="099969D1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00" w:type="dxa"/>
            <w:vAlign w:val="center"/>
          </w:tcPr>
          <w:p w14:paraId="4F12DAC2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300" w:type="dxa"/>
            <w:vAlign w:val="center"/>
          </w:tcPr>
          <w:p w14:paraId="10B9F57A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884" w:type="dxa"/>
            <w:vAlign w:val="center"/>
          </w:tcPr>
          <w:p w14:paraId="437FC818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65" w:type="dxa"/>
            <w:vAlign w:val="center"/>
          </w:tcPr>
          <w:p w14:paraId="0FA45EF5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4C3D22B7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43246F1D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</w:tr>
      <w:tr w14:paraId="6876C5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700" w:type="dxa"/>
            <w:vAlign w:val="center"/>
          </w:tcPr>
          <w:p w14:paraId="5360953D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spacing w:val="0"/>
                <w:kern w:val="0"/>
                <w:sz w:val="24"/>
                <w:szCs w:val="22"/>
              </w:rPr>
              <w:t>8</w:t>
            </w:r>
          </w:p>
        </w:tc>
        <w:tc>
          <w:tcPr>
            <w:tcW w:w="1800" w:type="dxa"/>
            <w:vAlign w:val="center"/>
          </w:tcPr>
          <w:p w14:paraId="7EBA1EDB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00" w:type="dxa"/>
            <w:vAlign w:val="center"/>
          </w:tcPr>
          <w:p w14:paraId="02CA6C85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300" w:type="dxa"/>
            <w:vAlign w:val="center"/>
          </w:tcPr>
          <w:p w14:paraId="4EE7A007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884" w:type="dxa"/>
            <w:vAlign w:val="center"/>
          </w:tcPr>
          <w:p w14:paraId="2C20E8B1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2265" w:type="dxa"/>
            <w:vAlign w:val="center"/>
          </w:tcPr>
          <w:p w14:paraId="0DAAC4FB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30C71676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7AB440BD">
            <w:pPr>
              <w:widowControl/>
              <w:overflowPunct/>
              <w:topLinePunct w:val="0"/>
              <w:adjustRightInd/>
              <w:spacing w:line="560" w:lineRule="exact"/>
              <w:ind w:firstLine="0"/>
              <w:jc w:val="center"/>
              <w:rPr>
                <w:rFonts w:ascii="Times New Roman" w:hAnsi="Times New Roman" w:eastAsia="仿宋"/>
                <w:color w:val="000000"/>
                <w:spacing w:val="0"/>
                <w:kern w:val="0"/>
                <w:szCs w:val="22"/>
              </w:rPr>
            </w:pPr>
          </w:p>
        </w:tc>
      </w:tr>
    </w:tbl>
    <w:p w14:paraId="3EDD538F">
      <w:pPr>
        <w:widowControl/>
        <w:overflowPunct/>
        <w:topLinePunct w:val="0"/>
        <w:adjustRightInd/>
        <w:spacing w:before="120" w:after="0" w:line="400" w:lineRule="exact"/>
        <w:ind w:firstLine="0"/>
        <w:jc w:val="left"/>
      </w:pPr>
      <w:r>
        <w:rPr>
          <w:rFonts w:ascii="Times New Roman" w:hAnsi="Times New Roman" w:eastAsia="楷体"/>
          <w:color w:val="000000"/>
          <w:spacing w:val="0"/>
          <w:kern w:val="0"/>
          <w:sz w:val="24"/>
          <w:szCs w:val="22"/>
        </w:rPr>
        <w:t>注：本表由各</w:t>
      </w:r>
      <w:r>
        <w:rPr>
          <w:rFonts w:hint="eastAsia" w:ascii="Times New Roman" w:hAnsi="Times New Roman" w:eastAsia="楷体"/>
          <w:color w:val="000000"/>
          <w:spacing w:val="0"/>
          <w:kern w:val="0"/>
          <w:sz w:val="24"/>
          <w:szCs w:val="22"/>
          <w:lang w:eastAsia="zh-CN"/>
        </w:rPr>
        <w:t>县（区）</w:t>
      </w:r>
      <w:r>
        <w:rPr>
          <w:rFonts w:ascii="Times New Roman" w:hAnsi="Times New Roman" w:eastAsia="楷体"/>
          <w:color w:val="000000"/>
          <w:spacing w:val="0"/>
          <w:kern w:val="0"/>
          <w:sz w:val="24"/>
          <w:szCs w:val="22"/>
        </w:rPr>
        <w:t>汇总填报，于2026年</w:t>
      </w:r>
      <w:r>
        <w:rPr>
          <w:rFonts w:hint="eastAsia" w:ascii="Times New Roman" w:hAnsi="Times New Roman" w:eastAsia="楷体"/>
          <w:color w:val="000000"/>
          <w:spacing w:val="0"/>
          <w:kern w:val="0"/>
          <w:sz w:val="24"/>
          <w:szCs w:val="22"/>
          <w:lang w:val="en-US" w:eastAsia="zh-CN"/>
        </w:rPr>
        <w:t>9</w:t>
      </w:r>
      <w:r>
        <w:rPr>
          <w:rFonts w:ascii="Times New Roman" w:hAnsi="Times New Roman" w:eastAsia="楷体"/>
          <w:color w:val="000000"/>
          <w:spacing w:val="0"/>
          <w:kern w:val="0"/>
          <w:sz w:val="24"/>
          <w:szCs w:val="22"/>
        </w:rPr>
        <w:t>月</w:t>
      </w:r>
      <w:r>
        <w:rPr>
          <w:rFonts w:hint="eastAsia" w:ascii="Times New Roman" w:hAnsi="Times New Roman" w:eastAsia="楷体"/>
          <w:color w:val="000000"/>
          <w:spacing w:val="0"/>
          <w:kern w:val="0"/>
          <w:sz w:val="24"/>
          <w:szCs w:val="22"/>
          <w:lang w:val="en-US" w:eastAsia="zh-CN"/>
        </w:rPr>
        <w:t>20</w:t>
      </w:r>
      <w:r>
        <w:rPr>
          <w:rFonts w:ascii="Times New Roman" w:hAnsi="Times New Roman" w:eastAsia="楷体"/>
          <w:color w:val="000000"/>
          <w:spacing w:val="0"/>
          <w:kern w:val="0"/>
          <w:sz w:val="24"/>
          <w:szCs w:val="22"/>
        </w:rPr>
        <w:t>日前报</w:t>
      </w:r>
      <w:r>
        <w:rPr>
          <w:rFonts w:hint="eastAsia" w:ascii="Times New Roman" w:hAnsi="Times New Roman" w:eastAsia="楷体"/>
          <w:color w:val="000000"/>
          <w:spacing w:val="0"/>
          <w:kern w:val="0"/>
          <w:sz w:val="24"/>
          <w:szCs w:val="22"/>
          <w:lang w:eastAsia="zh-CN"/>
        </w:rPr>
        <w:t>市住建</w:t>
      </w:r>
      <w:r>
        <w:rPr>
          <w:rFonts w:ascii="Times New Roman" w:hAnsi="Times New Roman" w:eastAsia="楷体"/>
          <w:color w:val="000000"/>
          <w:spacing w:val="0"/>
          <w:kern w:val="0"/>
          <w:sz w:val="24"/>
          <w:szCs w:val="22"/>
        </w:rPr>
        <w:t>局</w:t>
      </w:r>
      <w:r>
        <w:rPr>
          <w:rFonts w:hint="eastAsia" w:ascii="Times New Roman" w:hAnsi="Times New Roman" w:eastAsia="楷体"/>
          <w:color w:val="000000"/>
          <w:spacing w:val="0"/>
          <w:kern w:val="0"/>
          <w:sz w:val="24"/>
          <w:szCs w:val="22"/>
          <w:lang w:eastAsia="zh-CN"/>
        </w:rPr>
        <w:t>物管科</w:t>
      </w:r>
      <w:r>
        <w:rPr>
          <w:rFonts w:ascii="Times New Roman" w:hAnsi="Times New Roman" w:eastAsia="楷体"/>
          <w:color w:val="000000"/>
          <w:spacing w:val="0"/>
          <w:kern w:val="0"/>
          <w:sz w:val="24"/>
          <w:szCs w:val="22"/>
        </w:rPr>
        <w:t>。"是否整改到位"栏填"是"或"否"，未整改到位的须注明原因及下一步安排。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90C55"/>
    <w:rsid w:val="0A090C55"/>
    <w:rsid w:val="27011AAC"/>
    <w:rsid w:val="28274ADC"/>
    <w:rsid w:val="378F63E9"/>
    <w:rsid w:val="7D4E4EC3"/>
    <w:rsid w:val="7F44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adjustRightInd w:val="0"/>
      <w:jc w:val="both"/>
    </w:pPr>
    <w:rPr>
      <w:rFonts w:ascii="仿宋_GB2312" w:hAnsi="仿宋_GB2312" w:eastAsia="仿宋_GB2312" w:cs="Times New Roman"/>
      <w:spacing w:val="-6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174</Characters>
  <Lines>0</Lines>
  <Paragraphs>0</Paragraphs>
  <TotalTime>2</TotalTime>
  <ScaleCrop>false</ScaleCrop>
  <LinksUpToDate>false</LinksUpToDate>
  <CharactersWithSpaces>205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2026-07-27T02:00:00Z</dcterms:created>
  <dc:creator>MiniQue</dc:creator>
  <cp:lastModifiedBy>MiniQue</cp:lastModifiedBy>
  <cp:lastPrinted>2026-07-28T15:08:15Z</cp:lastPrinted>
  <dcterms:modified xsi:type="dcterms:W3CDTF">2026-07-28T15:08:20Z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593DAF7B44404F8EA4E0563B6169739F_11</vt:lpwstr>
  </property>
  <property fmtid="{D5CDD505-2E9C-101B-9397-08002B2CF9AE}" pid="4" name="KSOTemplateDocerSaveRecord">
    <vt:lpwstr>eyJoZGlkIjoiZWJlYmI4ZDZiZjAwMTliZTNkMGI0MjY0YmM3Y2FjZDciLCJ1c2VySWQiOiIxMTcxNzI4OTE3In0=</vt:lpwstr>
  </property>
</Properties>
</file>